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0B4CA0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32581" w:rsidP="00B8359D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в соответствии с Комплексным заданием на проектирование № КЗП-Т17 </w:t>
          </w:r>
          <w:r w:rsidR="00487AD2">
            <w:rPr>
              <w:sz w:val="22"/>
              <w:szCs w:val="22"/>
            </w:rPr>
            <w:t>(техническое перевооружение объектов цехов № 1, 3, 4, 5)</w:t>
          </w:r>
        </w:p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B8359D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bookmarkStart w:id="1" w:name="_GoBack" w:displacedByCustomXml="prev"/>
        <w:p w:rsidR="00132581" w:rsidRDefault="005F6799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</w:t>
          </w:r>
          <w:r w:rsidRPr="009C5702">
            <w:rPr>
              <w:sz w:val="22"/>
              <w:szCs w:val="22"/>
            </w:rPr>
            <w:t>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документов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  <w:p w:rsidR="005F6799" w:rsidRPr="00132581" w:rsidRDefault="00132581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132581">
            <w:rPr>
              <w:sz w:val="22"/>
              <w:szCs w:val="22"/>
            </w:rPr>
            <w:t>В</w:t>
          </w:r>
          <w:r w:rsidRPr="00132581">
            <w:rPr>
              <w:rStyle w:val="af6"/>
              <w:rFonts w:ascii="Times New Roman" w:hAnsi="Times New Roman"/>
              <w:sz w:val="22"/>
              <w:szCs w:val="22"/>
            </w:rPr>
            <w:t xml:space="preserve">ключать разработку «Обоснования безопасности оборудования, работающего под избыточным давлением» на вновь монтируемое оборудование (трубопроводы) согласно техническому регламенту Таможенного союза </w:t>
          </w:r>
          <w:proofErr w:type="gramStart"/>
          <w:r w:rsidRPr="00132581">
            <w:rPr>
              <w:rStyle w:val="af6"/>
              <w:rFonts w:ascii="Times New Roman" w:hAnsi="Times New Roman"/>
              <w:sz w:val="22"/>
              <w:szCs w:val="22"/>
            </w:rPr>
            <w:t>ТР</w:t>
          </w:r>
          <w:proofErr w:type="gramEnd"/>
          <w:r w:rsidRPr="00132581">
            <w:rPr>
              <w:rStyle w:val="af6"/>
              <w:rFonts w:ascii="Times New Roman" w:hAnsi="Times New Roman"/>
              <w:sz w:val="22"/>
              <w:szCs w:val="22"/>
            </w:rPr>
            <w:t xml:space="preserve"> ТС 032/2013 «О безопасности оборудования, работающего под избыточным давлением».</w:t>
          </w:r>
        </w:p>
        <w:bookmarkEnd w:id="1" w:displacedByCustomXml="next"/>
      </w:sdtContent>
    </w:sdt>
    <w:p w:rsidR="005F6799" w:rsidRDefault="005F6799" w:rsidP="00B8359D">
      <w:pPr>
        <w:pStyle w:val="23"/>
        <w:numPr>
          <w:ilvl w:val="1"/>
          <w:numId w:val="1"/>
        </w:numPr>
        <w:tabs>
          <w:tab w:val="clear" w:pos="456"/>
          <w:tab w:val="num" w:pos="567"/>
          <w:tab w:val="num" w:pos="1920"/>
        </w:tabs>
        <w:suppressAutoHyphens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Ведение авторского надзора за выполнением строительно-монтажных работ должно</w:t>
      </w:r>
      <w:r>
        <w:rPr>
          <w:sz w:val="22"/>
          <w:szCs w:val="22"/>
        </w:rPr>
        <w:t>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704419">
        <w:rPr>
          <w:sz w:val="22"/>
          <w:szCs w:val="22"/>
        </w:rPr>
        <w:t>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Проектирование:</w:t>
      </w:r>
    </w:p>
    <w:p w:rsidR="004F3D54" w:rsidRPr="009C5702" w:rsidRDefault="000B4CA0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132581">
            <w:rPr>
              <w:sz w:val="22"/>
              <w:szCs w:val="22"/>
            </w:rPr>
            <w:t>В соответствии с Календарным планом (Приложение № 2)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132581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0B4CA0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r w:rsidR="00132581">
            <w:rPr>
              <w:sz w:val="22"/>
              <w:szCs w:val="22"/>
            </w:rPr>
            <w:t>В соответствии с Календарным планом (Приложение № 2)</w:t>
          </w:r>
          <w:r w:rsidR="0054715E">
            <w:rPr>
              <w:sz w:val="22"/>
              <w:szCs w:val="22"/>
            </w:rPr>
            <w:t>.</w:t>
          </w:r>
        </w:sdtContent>
      </w:sdt>
      <w:r w:rsidR="00F43C5B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975098001"/>
          <w:placeholder>
            <w:docPart w:val="D4BFD77B654041FD9523E5126D1DE919"/>
          </w:placeholder>
        </w:sdtPr>
        <w:sdtEndPr>
          <w:rPr>
            <w:color w:val="auto"/>
          </w:rPr>
        </w:sdtEndPr>
        <w:sdtContent>
          <w:r w:rsidR="0054715E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 xml:space="preserve"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</w:t>
      </w:r>
      <w:proofErr w:type="gramStart"/>
      <w:r w:rsidR="00090FDF">
        <w:rPr>
          <w:sz w:val="22"/>
          <w:szCs w:val="22"/>
        </w:rPr>
        <w:t>но</w:t>
      </w:r>
      <w:proofErr w:type="gramEnd"/>
      <w:r w:rsidR="00090FDF">
        <w:rPr>
          <w:sz w:val="22"/>
          <w:szCs w:val="22"/>
        </w:rPr>
        <w:t xml:space="preserve">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19815445" w:displacedByCustomXml="next"/>
    <w:bookmarkStart w:id="4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3" w:displacedByCustomXml="prev"/>
        <w:p w:rsidR="006860EA" w:rsidRPr="009C5702" w:rsidRDefault="006860EA" w:rsidP="0054715E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4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54715E" w:rsidRDefault="0054715E" w:rsidP="0054715E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5" w:name="_Toc140648764"/>
      <w:bookmarkStart w:id="6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5"/>
      <w:bookmarkEnd w:id="6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B8359D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7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7"/>
    </w:p>
    <w:p w:rsidR="00415B6E" w:rsidRPr="009C5702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AC3838" w:rsidRPr="009C5702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</w:t>
      </w:r>
      <w:r>
        <w:rPr>
          <w:bCs/>
          <w:sz w:val="22"/>
          <w:szCs w:val="22"/>
        </w:rPr>
        <w:t>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8" w:name="_Toc140648765"/>
      <w:r w:rsidRPr="009C5702">
        <w:rPr>
          <w:sz w:val="22"/>
          <w:szCs w:val="22"/>
        </w:rPr>
        <w:t>Порядок передачи документов</w:t>
      </w:r>
      <w:bookmarkEnd w:id="8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9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9"/>
      <w:proofErr w:type="gramEnd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0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0"/>
    </w:p>
    <w:p w:rsidR="00663566" w:rsidRPr="009C5702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1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1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2" w:name="_Toc140648767"/>
      <w:r w:rsidRPr="009C5702">
        <w:rPr>
          <w:sz w:val="22"/>
          <w:szCs w:val="22"/>
        </w:rPr>
        <w:t>Права и обязанности сторон</w:t>
      </w:r>
      <w:bookmarkEnd w:id="12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3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3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4" w:name="_Ref419815629"/>
      <w:bookmarkStart w:id="15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4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5"/>
      <w:r w:rsidR="004F482F" w:rsidRPr="005F6799">
        <w:rPr>
          <w:b/>
          <w:sz w:val="22"/>
          <w:szCs w:val="22"/>
        </w:rPr>
        <w:t xml:space="preserve"> </w:t>
      </w:r>
    </w:p>
    <w:p w:rsidR="00494604" w:rsidRPr="009C5702" w:rsidRDefault="004F2C31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6"/>
    </w:p>
    <w:p w:rsidR="00623C97" w:rsidRDefault="00623C97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653310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</w:t>
      </w:r>
      <w:r w:rsidR="00955BF4">
        <w:rPr>
          <w:sz w:val="22"/>
          <w:szCs w:val="22"/>
        </w:rPr>
        <w:t>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B8359D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B8359D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B8359D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392688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Направлять документацию на экспертизу только после согласования ее Заказчиком. Документация согласовывается Заказчиком в сроки, указанные в п. 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_Ref419815340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6521BD">
        <w:rPr>
          <w:sz w:val="22"/>
          <w:szCs w:val="22"/>
        </w:rPr>
        <w:t>5.2.4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</w:t>
      </w:r>
    </w:p>
    <w:p w:rsidR="00656280" w:rsidRPr="009C5702" w:rsidRDefault="00656280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D14017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D14017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D14017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7"/>
    </w:p>
    <w:p w:rsidR="009F00ED" w:rsidRPr="009C5702" w:rsidRDefault="009F00E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8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bookmarkStart w:id="19" w:name="_Ref413762701"/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D14E99" w:rsidRDefault="00D14E99" w:rsidP="00B8359D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proofErr w:type="gramStart"/>
      <w:r w:rsidRPr="00D14E99">
        <w:rPr>
          <w:sz w:val="22"/>
          <w:szCs w:val="22"/>
        </w:rPr>
        <w:t>освидетельствовании</w:t>
      </w:r>
      <w:proofErr w:type="gramEnd"/>
      <w:r w:rsidRPr="00D14E99">
        <w:rPr>
          <w:sz w:val="22"/>
          <w:szCs w:val="22"/>
        </w:rPr>
        <w:t xml:space="preserve">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B8359D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B8359D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Своевременно решать вопросы, связанные с необходимостью внесения изменений в рабочую документацию.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</w:t>
      </w:r>
      <w:r w:rsidRPr="00D14E99">
        <w:rPr>
          <w:sz w:val="22"/>
          <w:szCs w:val="22"/>
        </w:rPr>
        <w:lastRenderedPageBreak/>
        <w:t>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2"/>
      <w:bookmarkEnd w:id="19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0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1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B8359D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B8359D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B8359D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B8359D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5.4.28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2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3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3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4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4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 xml:space="preserve">имеет право </w:t>
      </w:r>
      <w:proofErr w:type="gramStart"/>
      <w:r w:rsidR="00D14E99">
        <w:rPr>
          <w:b/>
          <w:sz w:val="22"/>
          <w:szCs w:val="22"/>
        </w:rPr>
        <w:t>на</w:t>
      </w:r>
      <w:proofErr w:type="gramEnd"/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25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5"/>
    </w:p>
    <w:p w:rsidR="00A8596D" w:rsidRPr="009C5702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85C83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6" w:name="_Ref413762405"/>
      <w:r w:rsidRPr="00185C83">
        <w:rPr>
          <w:b/>
          <w:sz w:val="22"/>
          <w:szCs w:val="22"/>
        </w:rPr>
        <w:t>Ответственность</w:t>
      </w:r>
      <w:bookmarkEnd w:id="26"/>
    </w:p>
    <w:p w:rsidR="0036382E" w:rsidRPr="009C5702" w:rsidRDefault="00B248D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6521BD">
        <w:rPr>
          <w:color w:val="000000"/>
          <w:sz w:val="22"/>
          <w:szCs w:val="22"/>
        </w:rPr>
        <w:fldChar w:fldCharType="begin"/>
      </w:r>
      <w:r w:rsidR="006521BD">
        <w:rPr>
          <w:color w:val="000000"/>
          <w:sz w:val="22"/>
          <w:szCs w:val="22"/>
        </w:rPr>
        <w:instrText xml:space="preserve"> REF _Ref419815445 \r \h </w:instrText>
      </w:r>
      <w:r w:rsidR="006521BD">
        <w:rPr>
          <w:color w:val="000000"/>
          <w:sz w:val="22"/>
          <w:szCs w:val="22"/>
        </w:rPr>
      </w:r>
      <w:r w:rsidR="006521BD">
        <w:rPr>
          <w:color w:val="000000"/>
          <w:sz w:val="22"/>
          <w:szCs w:val="22"/>
        </w:rPr>
        <w:fldChar w:fldCharType="separate"/>
      </w:r>
      <w:r w:rsidR="006521BD">
        <w:rPr>
          <w:color w:val="000000"/>
          <w:sz w:val="22"/>
          <w:szCs w:val="22"/>
        </w:rPr>
        <w:t>1.6</w:t>
      </w:r>
      <w:r w:rsidR="006521BD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 xml:space="preserve">а также </w:t>
      </w:r>
      <w:r w:rsidR="00E30EB2" w:rsidRPr="009C5702">
        <w:rPr>
          <w:color w:val="000000"/>
          <w:sz w:val="22"/>
          <w:szCs w:val="22"/>
        </w:rPr>
        <w:lastRenderedPageBreak/>
        <w:t>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B8359D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lastRenderedPageBreak/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6521BD">
        <w:rPr>
          <w:sz w:val="22"/>
          <w:szCs w:val="22"/>
        </w:rPr>
        <w:t>5.4.36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5.4.27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5.4.34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B8359D">
        <w:rPr>
          <w:sz w:val="22"/>
          <w:szCs w:val="22"/>
        </w:rPr>
        <w:t>5.4.39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7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7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6521BD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28" w:name="_Toc140648769"/>
      <w:r w:rsidRPr="009C5702">
        <w:rPr>
          <w:sz w:val="22"/>
          <w:szCs w:val="22"/>
        </w:rPr>
        <w:t>Арбитраж</w:t>
      </w:r>
      <w:bookmarkEnd w:id="28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29" w:name="_Toc140648770"/>
      <w:r w:rsidRPr="009C5702">
        <w:rPr>
          <w:sz w:val="22"/>
          <w:szCs w:val="22"/>
        </w:rPr>
        <w:t>Форс-мажор</w:t>
      </w:r>
      <w:bookmarkEnd w:id="29"/>
    </w:p>
    <w:p w:rsidR="0036382E" w:rsidRPr="009C5702" w:rsidRDefault="0036382E" w:rsidP="00B8359D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0" w:name="_Toc140648771"/>
      <w:r w:rsidRPr="009C5702">
        <w:rPr>
          <w:sz w:val="22"/>
          <w:szCs w:val="22"/>
        </w:rPr>
        <w:lastRenderedPageBreak/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30"/>
    </w:p>
    <w:p w:rsidR="00A623BB" w:rsidRPr="009C5702" w:rsidRDefault="00550B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31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1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1559A" w:rsidRPr="009C5702" w:rsidRDefault="0071559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B8359D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Default="007E345D" w:rsidP="00B8359D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71559A" w:rsidRPr="009C5702" w:rsidRDefault="0071559A" w:rsidP="0071559A">
      <w:pPr>
        <w:suppressAutoHyphens/>
        <w:ind w:left="480"/>
        <w:jc w:val="both"/>
        <w:rPr>
          <w:sz w:val="22"/>
          <w:szCs w:val="22"/>
        </w:rPr>
      </w:pP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2" w:name="_Toc140648773"/>
      <w:r w:rsidRPr="009C5702">
        <w:rPr>
          <w:sz w:val="22"/>
          <w:szCs w:val="22"/>
        </w:rPr>
        <w:t>Приложения</w:t>
      </w:r>
      <w:bookmarkEnd w:id="32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AE62FB" w:rsidRPr="00185C83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0B4CA0" w:rsidP="00B8359D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B8359D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B8359D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CA0" w:rsidRDefault="000B4CA0">
      <w:r>
        <w:separator/>
      </w:r>
    </w:p>
  </w:endnote>
  <w:endnote w:type="continuationSeparator" w:id="0">
    <w:p w:rsidR="000B4CA0" w:rsidRDefault="000B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7AD2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CA0" w:rsidRDefault="000B4CA0">
      <w:r>
        <w:separator/>
      </w:r>
    </w:p>
  </w:footnote>
  <w:footnote w:type="continuationSeparator" w:id="0">
    <w:p w:rsidR="000B4CA0" w:rsidRDefault="000B4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1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0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Hucu7JsxPZqARZCtiXuajhYD/U=" w:salt="kTPMC/D68lC821olmNO3+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4CA0"/>
    <w:rsid w:val="000B598B"/>
    <w:rsid w:val="000B60B3"/>
    <w:rsid w:val="000B68B6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81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20FBD"/>
    <w:rsid w:val="0032171A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87AD2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15E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07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40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character" w:customStyle="1" w:styleId="af6">
    <w:name w:val="Заголовок сообщения (текст)"/>
    <w:rsid w:val="00132581"/>
    <w:rPr>
      <w:rFonts w:ascii="Arial Black" w:hAnsi="Arial Black"/>
      <w:spacing w:val="-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character" w:customStyle="1" w:styleId="af6">
    <w:name w:val="Заголовок сообщения (текст)"/>
    <w:rsid w:val="00132581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DF7429" w:rsidP="00DF7429">
          <w:pPr>
            <w:pStyle w:val="58B641DF5F8445A28B6CE03544EC70852"/>
          </w:pPr>
          <w:r w:rsidRPr="009C5702">
            <w:rPr>
              <w:color w:val="00B0F0"/>
              <w:sz w:val="22"/>
              <w:szCs w:val="22"/>
            </w:rPr>
            <w:t xml:space="preserve">Окончание: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D4BFD77B654041FD9523E5126D1DE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77F9DB-D78A-4855-945B-E93F78044C76}"/>
      </w:docPartPr>
      <w:docPartBody>
        <w:p w:rsidR="002A283F" w:rsidRDefault="007823A6" w:rsidP="007823A6">
          <w:pPr>
            <w:pStyle w:val="D4BFD77B654041FD9523E5126D1DE919"/>
          </w:pPr>
          <w:r w:rsidRPr="009C5702">
            <w:rPr>
              <w:color w:val="00B0F0"/>
            </w:rPr>
            <w:t xml:space="preserve">Окончание: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851AA"/>
    <w:rsid w:val="002834BD"/>
    <w:rsid w:val="002A283F"/>
    <w:rsid w:val="00317A5A"/>
    <w:rsid w:val="00324E1B"/>
    <w:rsid w:val="004874ED"/>
    <w:rsid w:val="00494D4C"/>
    <w:rsid w:val="005C7856"/>
    <w:rsid w:val="00606BB4"/>
    <w:rsid w:val="00725E85"/>
    <w:rsid w:val="007823A6"/>
    <w:rsid w:val="007B2F9A"/>
    <w:rsid w:val="007F04A8"/>
    <w:rsid w:val="008620C6"/>
    <w:rsid w:val="0087658E"/>
    <w:rsid w:val="008904C2"/>
    <w:rsid w:val="008B0C3A"/>
    <w:rsid w:val="00934BE3"/>
    <w:rsid w:val="009669A5"/>
    <w:rsid w:val="00A003D3"/>
    <w:rsid w:val="00A648C7"/>
    <w:rsid w:val="00A72577"/>
    <w:rsid w:val="00B826AF"/>
    <w:rsid w:val="00B96963"/>
    <w:rsid w:val="00BA7CFA"/>
    <w:rsid w:val="00C750A2"/>
    <w:rsid w:val="00C80E1E"/>
    <w:rsid w:val="00C834A6"/>
    <w:rsid w:val="00D9251A"/>
    <w:rsid w:val="00DF3EFB"/>
    <w:rsid w:val="00DF7429"/>
    <w:rsid w:val="00E76ADC"/>
    <w:rsid w:val="00ED55FC"/>
    <w:rsid w:val="00F05385"/>
    <w:rsid w:val="00F05B7F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23A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23A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AEEE-74BD-4043-BF15-2102C081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6650</Words>
  <Characters>37906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44468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Демидова Елена Владимировна</cp:lastModifiedBy>
  <cp:revision>4</cp:revision>
  <cp:lastPrinted>2011-05-24T07:15:00Z</cp:lastPrinted>
  <dcterms:created xsi:type="dcterms:W3CDTF">2015-09-03T11:15:00Z</dcterms:created>
  <dcterms:modified xsi:type="dcterms:W3CDTF">2015-09-08T13:38:00Z</dcterms:modified>
</cp:coreProperties>
</file>